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7E2E6B16" w:rsidR="00CB4AC8" w:rsidRPr="00CB4AC8" w:rsidRDefault="005A3581" w:rsidP="00CB4AC8">
      <w:pPr>
        <w:ind w:right="340"/>
        <w:rPr>
          <w:bCs/>
          <w:color w:val="91928E"/>
          <w:spacing w:val="-4"/>
          <w:shd w:val="clear" w:color="auto" w:fill="FFFFFF"/>
        </w:rPr>
      </w:pPr>
      <w:r>
        <w:rPr>
          <w:bCs/>
          <w:noProof/>
          <w:color w:val="91928E"/>
          <w:spacing w:val="-4"/>
          <w:shd w:val="clear" w:color="auto" w:fill="FFFFFF"/>
          <w:lang w:eastAsia="el-GR"/>
        </w:rPr>
        <w:drawing>
          <wp:anchor distT="0" distB="0" distL="114300" distR="114300" simplePos="0" relativeHeight="251659264" behindDoc="1" locked="0" layoutInCell="1" allowOverlap="1" wp14:anchorId="3D8B9E39" wp14:editId="27F5A5E6">
            <wp:simplePos x="0" y="0"/>
            <wp:positionH relativeFrom="page">
              <wp:posOffset>-47625</wp:posOffset>
            </wp:positionH>
            <wp:positionV relativeFrom="margin">
              <wp:posOffset>-32385</wp:posOffset>
            </wp:positionV>
            <wp:extent cx="7671816" cy="1085392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1A7FB176" w14:textId="2FC7B02B" w:rsidR="00A17026" w:rsidRPr="00FA79A7" w:rsidRDefault="00A17026" w:rsidP="00FA79A7">
      <w:pPr>
        <w:spacing w:line="240" w:lineRule="auto"/>
        <w:ind w:left="0" w:right="340" w:firstLine="0"/>
        <w:rPr>
          <w:b/>
          <w:color w:val="91928E"/>
          <w:spacing w:val="-4"/>
          <w:sz w:val="28"/>
          <w:szCs w:val="28"/>
          <w:shd w:val="clear" w:color="auto" w:fill="FFFFFF"/>
        </w:rPr>
      </w:pPr>
    </w:p>
    <w:p w14:paraId="2BF8BBD0" w14:textId="601364FF" w:rsidR="004E5EDE" w:rsidRPr="004E5EDE" w:rsidRDefault="004E5EDE" w:rsidP="004E5EDE">
      <w:pPr>
        <w:pStyle w:val="a4"/>
        <w:tabs>
          <w:tab w:val="clear" w:pos="4513"/>
          <w:tab w:val="clear" w:pos="9026"/>
        </w:tabs>
        <w:overflowPunct w:val="0"/>
        <w:autoSpaceDE w:val="0"/>
        <w:autoSpaceDN w:val="0"/>
        <w:adjustRightInd w:val="0"/>
        <w:spacing w:before="0" w:after="0" w:line="360" w:lineRule="exact"/>
        <w:ind w:left="720" w:right="0" w:firstLine="0"/>
        <w:jc w:val="center"/>
        <w:textAlignment w:val="baseline"/>
        <w:rPr>
          <w:rFonts w:ascii="Times New Roman" w:eastAsia="Times New Roman" w:hAnsi="Times New Roman" w:cs="Times New Roman"/>
          <w:b/>
          <w:color w:val="91928E"/>
          <w:spacing w:val="-4"/>
          <w:shd w:val="clear" w:color="auto" w:fill="FFFFFF"/>
        </w:rPr>
      </w:pPr>
      <w:r w:rsidRPr="004E5EDE">
        <w:rPr>
          <w:rFonts w:ascii="Times New Roman" w:eastAsia="Times New Roman" w:hAnsi="Times New Roman" w:cs="Times New Roman"/>
          <w:b/>
          <w:color w:val="91928E"/>
          <w:spacing w:val="-4"/>
          <w:shd w:val="clear" w:color="auto" w:fill="FFFFFF"/>
        </w:rPr>
        <w:t>Ψήφισμα διατήρησης των Δ.Ο.Υ. Ηρακλείου και Αγίου Νικολάου ως Δ.Ο.Υ. Α’ τάξης με πλήρη φορολογικά αντικείμενα.</w:t>
      </w:r>
    </w:p>
    <w:p w14:paraId="490086FF" w14:textId="56AE85F8" w:rsidR="00051FAC" w:rsidRDefault="00051FAC" w:rsidP="00FA79A7">
      <w:pPr>
        <w:pStyle w:val="a4"/>
        <w:overflowPunct w:val="0"/>
        <w:autoSpaceDE w:val="0"/>
        <w:autoSpaceDN w:val="0"/>
        <w:adjustRightInd w:val="0"/>
        <w:ind w:firstLine="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 xml:space="preserve">Η Διοικούσα Επιτροπή του Τεχνικού Επιμελητηρίου Ελλάδας Τμήμα Ανατολικής Κρήτης, εκφράζει την έντονη ανησυχία και αντίθεσή της απέναντι στις προωθούμενες από την Ανεξάρτητη Αρχή Δημοσίων Εσόδων (ΑΑΔΕ), σε συνεργασία με την κυβέρνηση, ρυθμίσεις για τη συρρίκνωση και ουσιαστικά την κατάργηση των περιφερειακών Δ.Ο.Υ., μέσω της αντικατάστασής τους από αποκεντρωμένα φορολογικά κέντρα </w:t>
      </w:r>
      <w:proofErr w:type="spellStart"/>
      <w:r w:rsidRPr="00051FAC">
        <w:rPr>
          <w:rFonts w:ascii="Times New Roman" w:eastAsia="Times New Roman" w:hAnsi="Times New Roman" w:cs="Times New Roman"/>
          <w:bCs/>
          <w:color w:val="91928E"/>
          <w:spacing w:val="-4"/>
          <w:shd w:val="clear" w:color="auto" w:fill="FFFFFF"/>
        </w:rPr>
        <w:t>μονοθεματικού</w:t>
      </w:r>
      <w:proofErr w:type="spellEnd"/>
      <w:r w:rsidRPr="00051FAC">
        <w:rPr>
          <w:rFonts w:ascii="Times New Roman" w:eastAsia="Times New Roman" w:hAnsi="Times New Roman" w:cs="Times New Roman"/>
          <w:bCs/>
          <w:color w:val="91928E"/>
          <w:spacing w:val="-4"/>
          <w:shd w:val="clear" w:color="auto" w:fill="FFFFFF"/>
        </w:rPr>
        <w:t xml:space="preserve"> χαρακτήρα (ΕΛΚΕ, ΚΕΒΕΙΣ, ΚΕΦΟΔΕ, ΚΕΦΟΚ).</w:t>
      </w:r>
    </w:p>
    <w:p w14:paraId="18449C62" w14:textId="4090F3F3" w:rsidR="00051FAC" w:rsidRDefault="00051FAC" w:rsidP="00FA79A7">
      <w:pPr>
        <w:pStyle w:val="a4"/>
        <w:overflowPunct w:val="0"/>
        <w:autoSpaceDE w:val="0"/>
        <w:autoSpaceDN w:val="0"/>
        <w:adjustRightInd w:val="0"/>
        <w:ind w:firstLine="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 xml:space="preserve">Η σχεδιαζόμενη αυτή “μεταρρύθμιση”, όπως ήδη αποδείχθηκε από την εφαρμογή της σε Αττική και Θεσσαλονίκη, οδηγεί σε σοβαρές δυσλειτουργίες, επιτείνει τη γραφειοκρατία και απομακρύνει ακόμα περισσότερο τον πολίτη και τον επαγγελματία από την άμεση εξυπηρέτηση, τη διαφάνεια και την αποδοτική λειτουργία της δημόσιας διοίκησης. Στην περίπτωση της Κρήτης, και ιδίως των νομών Ηρακλείου και Λασιθίου, οι επιπτώσεις θα είναι πολλαπλά επιβαρυντικές, τόσο λόγω της </w:t>
      </w:r>
      <w:proofErr w:type="spellStart"/>
      <w:r w:rsidRPr="00051FAC">
        <w:rPr>
          <w:rFonts w:ascii="Times New Roman" w:eastAsia="Times New Roman" w:hAnsi="Times New Roman" w:cs="Times New Roman"/>
          <w:bCs/>
          <w:color w:val="91928E"/>
          <w:spacing w:val="-4"/>
          <w:shd w:val="clear" w:color="auto" w:fill="FFFFFF"/>
        </w:rPr>
        <w:t>νησιωτικότητας</w:t>
      </w:r>
      <w:proofErr w:type="spellEnd"/>
      <w:r w:rsidRPr="00051FAC">
        <w:rPr>
          <w:rFonts w:ascii="Times New Roman" w:eastAsia="Times New Roman" w:hAnsi="Times New Roman" w:cs="Times New Roman"/>
          <w:bCs/>
          <w:color w:val="91928E"/>
          <w:spacing w:val="-4"/>
          <w:shd w:val="clear" w:color="auto" w:fill="FFFFFF"/>
        </w:rPr>
        <w:t xml:space="preserve"> , όσο και εξαιτίας των ιδιαίτερων κοινωνικών και οικονομικών χαρακτηριστικών της περιοχής.</w:t>
      </w:r>
    </w:p>
    <w:p w14:paraId="545A7E79" w14:textId="0B2EAA36" w:rsidR="00051FAC" w:rsidRPr="00051FAC" w:rsidRDefault="00051FAC" w:rsidP="00FA79A7">
      <w:pPr>
        <w:pStyle w:val="a4"/>
        <w:overflowPunct w:val="0"/>
        <w:autoSpaceDE w:val="0"/>
        <w:autoSpaceDN w:val="0"/>
        <w:adjustRightInd w:val="0"/>
        <w:ind w:firstLine="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Ως Τεχνικό Επιμελητήριο, στεκόμαστε στο πλευρό των φορέων και των πολιτών της Κρήτης που αγωνίζονται για τη διατήρηση και ενίσχυση των υφιστάμενων Δ.Ο.Υ., με στόχο:</w:t>
      </w:r>
    </w:p>
    <w:p w14:paraId="2EB2CCF6" w14:textId="1B300903" w:rsidR="00051FAC" w:rsidRPr="00051FAC" w:rsidRDefault="00051FAC" w:rsidP="00051FAC">
      <w:pPr>
        <w:pStyle w:val="a4"/>
        <w:overflowPunct w:val="0"/>
        <w:autoSpaceDE w:val="0"/>
        <w:autoSpaceDN w:val="0"/>
        <w:adjustRightInd w:val="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ab/>
        <w:t>•Την παραμονή των περιφερειακών Δ.Ο.Υ. ως πλήρως στελεχωμένων και λειτουργικών υπηρεσιών πρώτης τάξης με όλες τις φορολογικές αρμοδιότητες, τόσο στο νομό Ηρακλείου όσο και στο νομό Λασιθίου.</w:t>
      </w:r>
    </w:p>
    <w:p w14:paraId="1C6DCD84" w14:textId="1CD66E6A" w:rsidR="00051FAC" w:rsidRPr="00051FAC" w:rsidRDefault="00051FAC" w:rsidP="00051FAC">
      <w:pPr>
        <w:pStyle w:val="a4"/>
        <w:overflowPunct w:val="0"/>
        <w:autoSpaceDE w:val="0"/>
        <w:autoSpaceDN w:val="0"/>
        <w:adjustRightInd w:val="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ab/>
        <w:t>•Την ενίσχυση των Δ.Ο.Υ. με επαρκές προσωπικό και τεχνολογικά μέσα, ώστε να διασφαλίζεται η ταχύτερη και ποιοτικότερη εξυπηρέτηση πολιτών και επαγγελματιών.</w:t>
      </w:r>
    </w:p>
    <w:p w14:paraId="3B71F3C1" w14:textId="6956A66E" w:rsidR="00051FAC" w:rsidRPr="00051FAC" w:rsidRDefault="00051FAC" w:rsidP="00051FAC">
      <w:pPr>
        <w:pStyle w:val="a4"/>
        <w:overflowPunct w:val="0"/>
        <w:autoSpaceDE w:val="0"/>
        <w:autoSpaceDN w:val="0"/>
        <w:adjustRightInd w:val="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ab/>
        <w:t>•Τη διατήρηση της αρχής της εγγύτητας, ώστε οι φορολογικές υπηρεσίες να παραμένουν κοντά στον πολίτη, συμβάλλοντας στην ισόρροπη ανάπτυξη και στην ενίσχυση της περιφέρειας.</w:t>
      </w:r>
    </w:p>
    <w:p w14:paraId="23C6ABE9" w14:textId="001A15C1" w:rsidR="00051FAC" w:rsidRDefault="00051FAC" w:rsidP="00051FAC">
      <w:pPr>
        <w:pStyle w:val="a4"/>
        <w:overflowPunct w:val="0"/>
        <w:autoSpaceDE w:val="0"/>
        <w:autoSpaceDN w:val="0"/>
        <w:adjustRightInd w:val="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ab/>
        <w:t>•</w:t>
      </w:r>
      <w:r w:rsidR="00F5585A" w:rsidRPr="00F5585A">
        <w:t xml:space="preserve"> </w:t>
      </w:r>
      <w:r w:rsidR="00F5585A" w:rsidRPr="00F5585A">
        <w:rPr>
          <w:rFonts w:ascii="Times New Roman" w:eastAsia="Times New Roman" w:hAnsi="Times New Roman" w:cs="Times New Roman"/>
          <w:bCs/>
          <w:color w:val="91928E"/>
          <w:spacing w:val="-4"/>
          <w:shd w:val="clear" w:color="auto" w:fill="FFFFFF"/>
        </w:rPr>
        <w:t>Την εφαρμογή του άρθρου 101 του συντάγματος που επιβάλλει την προσήλωση στην Περιφερειακή Ανάπτυξη και την εξυπηρέτηση των φορολογουμένων πολιτών χωρίς διαχωρισμούς ανάλογα με τον τόπο κατοικίας τους προάγοντας έτσι την ισόρροπη οικονομική και κοινωνική ανάπτυξη</w:t>
      </w:r>
      <w:r w:rsidR="004B0D65">
        <w:rPr>
          <w:rFonts w:ascii="Times New Roman" w:eastAsia="Times New Roman" w:hAnsi="Times New Roman" w:cs="Times New Roman"/>
          <w:bCs/>
          <w:color w:val="91928E"/>
          <w:spacing w:val="-4"/>
          <w:shd w:val="clear" w:color="auto" w:fill="FFFFFF"/>
        </w:rPr>
        <w:t>.</w:t>
      </w:r>
    </w:p>
    <w:p w14:paraId="5D527C83" w14:textId="77777777" w:rsidR="00FA79A7" w:rsidRDefault="00051FAC" w:rsidP="00FA79A7">
      <w:pPr>
        <w:pStyle w:val="a4"/>
        <w:overflowPunct w:val="0"/>
        <w:autoSpaceDE w:val="0"/>
        <w:autoSpaceDN w:val="0"/>
        <w:adjustRightInd w:val="0"/>
        <w:ind w:firstLine="0"/>
        <w:textAlignment w:val="baseline"/>
        <w:rPr>
          <w:rFonts w:ascii="Times New Roman" w:eastAsia="Times New Roman" w:hAnsi="Times New Roman" w:cs="Times New Roman"/>
          <w:bCs/>
          <w:color w:val="91928E"/>
          <w:spacing w:val="-4"/>
          <w:shd w:val="clear" w:color="auto" w:fill="FFFFFF"/>
        </w:rPr>
      </w:pPr>
      <w:r w:rsidRPr="00051FAC">
        <w:rPr>
          <w:rFonts w:ascii="Times New Roman" w:eastAsia="Times New Roman" w:hAnsi="Times New Roman" w:cs="Times New Roman"/>
          <w:bCs/>
          <w:color w:val="91928E"/>
          <w:spacing w:val="-4"/>
          <w:shd w:val="clear" w:color="auto" w:fill="FFFFFF"/>
        </w:rPr>
        <w:t>Η Διοικούσα Επιτροπή του ΤΕΕ/ΤΑΚ καλεί την κυβέρνηση και τη Διοίκηση της ΑΑΔΕ να επανεξετάσουν τον σχεδιασμό τους, με σεβασμό στις ανάγκες της κοινωνίας, στις αρχές της δίκαιης και ισότιμης μεταχείρισης των πολιτών ανεξαρτήτως τόπου κατοικίας, αλλά και στο ευρωπαϊκό κεκτημένο που θέλει τις δημόσιες υπηρεσίες να είναι δίπλα στον πολίτη και την επιχείρηση.</w:t>
      </w:r>
      <w:r w:rsidR="008D042A">
        <w:rPr>
          <w:noProof/>
          <w:shd w:val="clear" w:color="auto" w:fill="FFFFFF"/>
          <w:lang w:eastAsia="el-GR"/>
        </w:rPr>
        <w:drawing>
          <wp:anchor distT="0" distB="0" distL="114300" distR="114300" simplePos="0" relativeHeight="251661312" behindDoc="1" locked="0" layoutInCell="1" allowOverlap="1" wp14:anchorId="0051DEFE" wp14:editId="4347A4BF">
            <wp:simplePos x="0" y="0"/>
            <wp:positionH relativeFrom="page">
              <wp:posOffset>-50800</wp:posOffset>
            </wp:positionH>
            <wp:positionV relativeFrom="margin">
              <wp:posOffset>8890</wp:posOffset>
            </wp:positionV>
            <wp:extent cx="7671816" cy="10853928"/>
            <wp:effectExtent l="0" t="0" r="0" b="5080"/>
            <wp:wrapNone/>
            <wp:docPr id="878906146" name="Picture 878906146" descr="A white wall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06146" name="Picture 878906146" descr="A white wall with a white bord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color w:val="91928E"/>
          <w:spacing w:val="-4"/>
          <w:shd w:val="clear" w:color="auto" w:fill="FFFFFF"/>
        </w:rPr>
        <w:t xml:space="preserve">                                                          </w:t>
      </w:r>
    </w:p>
    <w:p w14:paraId="3FEEF2EE" w14:textId="47CB664A" w:rsidR="008D042A" w:rsidRPr="00051FAC" w:rsidRDefault="00FA79A7" w:rsidP="00FA79A7">
      <w:pPr>
        <w:pStyle w:val="a4"/>
        <w:overflowPunct w:val="0"/>
        <w:autoSpaceDE w:val="0"/>
        <w:autoSpaceDN w:val="0"/>
        <w:adjustRightInd w:val="0"/>
        <w:ind w:left="0" w:firstLine="0"/>
        <w:textAlignment w:val="baseline"/>
        <w:rPr>
          <w:rFonts w:ascii="Times New Roman" w:eastAsia="Times New Roman" w:hAnsi="Times New Roman" w:cs="Times New Roman"/>
          <w:bCs/>
          <w:color w:val="91928E"/>
          <w:spacing w:val="-4"/>
          <w:shd w:val="clear" w:color="auto" w:fill="FFFFFF"/>
        </w:rPr>
      </w:pPr>
      <w:r>
        <w:rPr>
          <w:rFonts w:ascii="Times New Roman" w:eastAsia="Times New Roman" w:hAnsi="Times New Roman" w:cs="Times New Roman"/>
          <w:bCs/>
          <w:color w:val="91928E"/>
          <w:spacing w:val="-4"/>
          <w:shd w:val="clear" w:color="auto" w:fill="FFFFFF"/>
        </w:rPr>
        <w:t xml:space="preserve">                                                                                                          </w:t>
      </w:r>
      <w:r w:rsidR="00221152" w:rsidRPr="007E7F30">
        <w:rPr>
          <w:bCs/>
          <w:color w:val="91928E"/>
          <w:spacing w:val="-4"/>
          <w:shd w:val="clear" w:color="auto" w:fill="FFFFFF"/>
        </w:rPr>
        <w:t xml:space="preserve">Ηράκλειο  </w:t>
      </w:r>
      <w:r w:rsidR="007766CC">
        <w:rPr>
          <w:bCs/>
          <w:color w:val="91928E"/>
          <w:spacing w:val="-4"/>
          <w:shd w:val="clear" w:color="auto" w:fill="FFFFFF"/>
        </w:rPr>
        <w:t>5</w:t>
      </w:r>
      <w:r w:rsidR="00221152" w:rsidRPr="007E7F30">
        <w:rPr>
          <w:bCs/>
          <w:color w:val="91928E"/>
          <w:spacing w:val="-4"/>
          <w:shd w:val="clear" w:color="auto" w:fill="FFFFFF"/>
        </w:rPr>
        <w:t>-</w:t>
      </w:r>
      <w:r w:rsidR="00560E09" w:rsidRPr="008D042A">
        <w:rPr>
          <w:bCs/>
          <w:color w:val="91928E"/>
          <w:spacing w:val="-4"/>
          <w:shd w:val="clear" w:color="auto" w:fill="FFFFFF"/>
        </w:rPr>
        <w:t>6</w:t>
      </w:r>
      <w:r w:rsidR="00221152" w:rsidRPr="007E7F30">
        <w:rPr>
          <w:bCs/>
          <w:color w:val="91928E"/>
          <w:spacing w:val="-4"/>
          <w:shd w:val="clear" w:color="auto" w:fill="FFFFFF"/>
        </w:rPr>
        <w:t>-202</w:t>
      </w:r>
      <w:r w:rsidR="005F47AD">
        <w:rPr>
          <w:bCs/>
          <w:color w:val="91928E"/>
          <w:spacing w:val="-4"/>
          <w:shd w:val="clear" w:color="auto" w:fill="FFFFFF"/>
        </w:rPr>
        <w:t>5</w:t>
      </w:r>
    </w:p>
    <w:p w14:paraId="7591CBE2" w14:textId="16C1BF3E" w:rsidR="00D40B7F" w:rsidRPr="00D40B7F" w:rsidRDefault="00D40B7F" w:rsidP="00D40B7F">
      <w:pPr>
        <w:spacing w:line="240" w:lineRule="auto"/>
        <w:ind w:left="0" w:right="340" w:firstLine="0"/>
        <w:rPr>
          <w:bCs/>
          <w:color w:val="91928E"/>
          <w:spacing w:val="-4"/>
          <w:shd w:val="clear" w:color="auto" w:fill="FFFFFF"/>
        </w:rPr>
      </w:pPr>
      <w:r w:rsidRPr="00D40B7F">
        <w:rPr>
          <w:bCs/>
          <w:color w:val="91928E"/>
          <w:spacing w:val="-4"/>
          <w:shd w:val="clear" w:color="auto" w:fill="FFFFFF"/>
        </w:rPr>
        <w:t xml:space="preserve">    </w:t>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4E5EDE">
        <w:rPr>
          <w:bCs/>
          <w:color w:val="91928E"/>
          <w:spacing w:val="-4"/>
          <w:shd w:val="clear" w:color="auto" w:fill="FFFFFF"/>
        </w:rPr>
        <w:tab/>
      </w:r>
      <w:r w:rsidRPr="004E5EDE">
        <w:rPr>
          <w:bCs/>
          <w:color w:val="91928E"/>
          <w:spacing w:val="-4"/>
          <w:shd w:val="clear" w:color="auto" w:fill="FFFFFF"/>
        </w:rPr>
        <w:tab/>
      </w:r>
      <w:r w:rsidRPr="00D40B7F">
        <w:rPr>
          <w:bCs/>
          <w:color w:val="91928E"/>
          <w:spacing w:val="-4"/>
          <w:shd w:val="clear" w:color="auto" w:fill="FFFFFF"/>
        </w:rPr>
        <w:t xml:space="preserve">                 </w:t>
      </w:r>
      <w:r w:rsidR="00221152" w:rsidRPr="00D40B7F">
        <w:rPr>
          <w:bCs/>
          <w:color w:val="91928E"/>
          <w:spacing w:val="-4"/>
          <w:shd w:val="clear" w:color="auto" w:fill="FFFFFF"/>
        </w:rPr>
        <w:t>Για τη ΔΕ του ΤΕΕ/ΤΑΚ</w:t>
      </w:r>
    </w:p>
    <w:p w14:paraId="5EE2DDF2" w14:textId="0E1A04F0" w:rsidR="00221152" w:rsidRPr="00D40B7F" w:rsidRDefault="00D40B7F" w:rsidP="00D40B7F">
      <w:pPr>
        <w:pStyle w:val="a3"/>
        <w:spacing w:after="120" w:line="240" w:lineRule="auto"/>
        <w:ind w:left="5040" w:right="340"/>
        <w:rPr>
          <w:bCs/>
          <w:color w:val="91928E"/>
          <w:spacing w:val="-4"/>
          <w:sz w:val="24"/>
          <w:szCs w:val="24"/>
          <w:shd w:val="clear" w:color="auto" w:fill="FFFFFF"/>
        </w:rPr>
      </w:pPr>
      <w:r w:rsidRPr="00D40B7F">
        <w:rPr>
          <w:bCs/>
          <w:color w:val="91928E"/>
          <w:spacing w:val="-4"/>
          <w:sz w:val="24"/>
          <w:szCs w:val="24"/>
          <w:shd w:val="clear" w:color="auto" w:fill="FFFFFF"/>
        </w:rPr>
        <w:t xml:space="preserve">           </w:t>
      </w:r>
      <w:r w:rsidR="00221152" w:rsidRPr="00221152">
        <w:rPr>
          <w:bCs/>
          <w:color w:val="91928E"/>
          <w:spacing w:val="-4"/>
          <w:shd w:val="clear" w:color="auto" w:fill="FFFFFF"/>
        </w:rPr>
        <w:t>Ο Πρόεδρος</w:t>
      </w:r>
    </w:p>
    <w:p w14:paraId="3FD3F939" w14:textId="24821509" w:rsidR="00221152" w:rsidRDefault="008D042A" w:rsidP="008D042A">
      <w:pPr>
        <w:ind w:left="4320" w:right="340" w:firstLine="0"/>
        <w:rPr>
          <w:bCs/>
          <w:color w:val="91928E"/>
          <w:spacing w:val="-4"/>
          <w:shd w:val="clear" w:color="auto" w:fill="FFFFFF"/>
        </w:rPr>
      </w:pPr>
      <w:r w:rsidRPr="008D042A">
        <w:rPr>
          <w:bCs/>
          <w:color w:val="91928E"/>
          <w:spacing w:val="-4"/>
          <w:shd w:val="clear" w:color="auto" w:fill="FFFFFF"/>
        </w:rPr>
        <w:t xml:space="preserve">                            </w:t>
      </w:r>
      <w:r w:rsidR="00221152" w:rsidRPr="00221152">
        <w:rPr>
          <w:bCs/>
          <w:color w:val="91928E"/>
          <w:spacing w:val="-4"/>
          <w:shd w:val="clear" w:color="auto" w:fill="FFFFFF"/>
        </w:rPr>
        <w:t xml:space="preserve">Γεώργιος </w:t>
      </w:r>
      <w:proofErr w:type="spellStart"/>
      <w:r w:rsidR="00221152" w:rsidRPr="00221152">
        <w:rPr>
          <w:bCs/>
          <w:color w:val="91928E"/>
          <w:spacing w:val="-4"/>
          <w:shd w:val="clear" w:color="auto" w:fill="FFFFFF"/>
        </w:rPr>
        <w:t>Ταβερναράκη</w:t>
      </w:r>
      <w:r w:rsidR="00221152">
        <w:rPr>
          <w:bCs/>
          <w:color w:val="91928E"/>
          <w:spacing w:val="-4"/>
          <w:shd w:val="clear" w:color="auto" w:fill="FFFFFF"/>
        </w:rPr>
        <w:t>ς</w:t>
      </w:r>
      <w:proofErr w:type="spellEnd"/>
    </w:p>
    <w:p w14:paraId="7655548C" w14:textId="6D72E9C9" w:rsidR="00221152" w:rsidRPr="00221152" w:rsidRDefault="00221152" w:rsidP="008D042A">
      <w:pPr>
        <w:ind w:left="5760" w:right="340" w:firstLine="0"/>
        <w:rPr>
          <w:bCs/>
          <w:color w:val="91928E"/>
          <w:spacing w:val="-4"/>
          <w:shd w:val="clear" w:color="auto" w:fill="FFFFFF"/>
        </w:rPr>
      </w:pPr>
      <w:r>
        <w:rPr>
          <w:bCs/>
          <w:color w:val="91928E"/>
          <w:spacing w:val="-4"/>
          <w:shd w:val="clear" w:color="auto" w:fill="FFFFFF"/>
        </w:rPr>
        <w:t>Πολιτικός Μηχανικός Δ.Π.Θ.</w:t>
      </w:r>
    </w:p>
    <w:p w14:paraId="0DAA84DF" w14:textId="77777777" w:rsidR="00221152" w:rsidRDefault="00221152" w:rsidP="00221152">
      <w:pPr>
        <w:pStyle w:val="a3"/>
        <w:spacing w:after="120" w:line="240" w:lineRule="auto"/>
        <w:ind w:left="1440" w:right="340"/>
        <w:jc w:val="right"/>
        <w:rPr>
          <w:bCs/>
          <w:color w:val="91928E"/>
          <w:spacing w:val="-4"/>
          <w:sz w:val="24"/>
          <w:szCs w:val="24"/>
          <w:shd w:val="clear" w:color="auto" w:fill="FFFFFF"/>
        </w:rPr>
      </w:pPr>
    </w:p>
    <w:p w14:paraId="705BE261" w14:textId="773A4CC7" w:rsidR="00221152" w:rsidRPr="001D17F8" w:rsidRDefault="00221152" w:rsidP="001D17F8">
      <w:pPr>
        <w:spacing w:line="240" w:lineRule="auto"/>
        <w:ind w:left="0" w:right="340" w:firstLine="0"/>
        <w:rPr>
          <w:bCs/>
          <w:color w:val="91928E"/>
          <w:spacing w:val="-4"/>
          <w:shd w:val="clear" w:color="auto" w:fill="FFFFFF"/>
        </w:rPr>
        <w:sectPr w:rsidR="00221152" w:rsidRPr="001D17F8" w:rsidSect="00257BC4">
          <w:pgSz w:w="11906" w:h="16838" w:code="9"/>
          <w:pgMar w:top="0" w:right="1000" w:bottom="280" w:left="100" w:header="720" w:footer="720" w:gutter="0"/>
          <w:lnNumType w:countBy="1" w:restart="continuous"/>
          <w:cols w:space="720"/>
          <w:docGrid w:linePitch="299"/>
        </w:sectPr>
      </w:pPr>
    </w:p>
    <w:p w14:paraId="56237C7D" w14:textId="4D11F2B5" w:rsidR="00A23732" w:rsidRPr="00257BC4" w:rsidRDefault="00A23732" w:rsidP="001D17F8">
      <w:pPr>
        <w:ind w:left="0" w:firstLine="0"/>
      </w:pPr>
    </w:p>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C87E" w14:textId="77777777" w:rsidR="00450613" w:rsidRDefault="00450613" w:rsidP="008C3A4C">
      <w:r>
        <w:separator/>
      </w:r>
    </w:p>
  </w:endnote>
  <w:endnote w:type="continuationSeparator" w:id="0">
    <w:p w14:paraId="20C17D4A" w14:textId="77777777" w:rsidR="00450613" w:rsidRDefault="00450613"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CDC6" w14:textId="77777777" w:rsidR="00450613" w:rsidRDefault="00450613" w:rsidP="008C3A4C">
      <w:r>
        <w:separator/>
      </w:r>
    </w:p>
  </w:footnote>
  <w:footnote w:type="continuationSeparator" w:id="0">
    <w:p w14:paraId="75B494E7" w14:textId="77777777" w:rsidR="00450613" w:rsidRDefault="00450613"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867"/>
    <w:multiLevelType w:val="hybridMultilevel"/>
    <w:tmpl w:val="F9CCCE50"/>
    <w:lvl w:ilvl="0" w:tplc="D1D460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C478F9"/>
    <w:multiLevelType w:val="multilevel"/>
    <w:tmpl w:val="73C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13CB3"/>
    <w:multiLevelType w:val="hybridMultilevel"/>
    <w:tmpl w:val="C1E6221C"/>
    <w:lvl w:ilvl="0" w:tplc="1F92A5DC">
      <w:numFmt w:val="bullet"/>
      <w:lvlText w:val="•"/>
      <w:lvlJc w:val="left"/>
      <w:pPr>
        <w:ind w:left="2160" w:hanging="360"/>
      </w:pPr>
      <w:rPr>
        <w:lang w:val="el-GR" w:eastAsia="el-GR" w:bidi="el-GR"/>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86579906">
    <w:abstractNumId w:val="1"/>
  </w:num>
  <w:num w:numId="2" w16cid:durableId="1869874904">
    <w:abstractNumId w:val="2"/>
  </w:num>
  <w:num w:numId="3" w16cid:durableId="52140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1434D"/>
    <w:rsid w:val="000304AB"/>
    <w:rsid w:val="0003505D"/>
    <w:rsid w:val="0004382F"/>
    <w:rsid w:val="0005024C"/>
    <w:rsid w:val="00051FAC"/>
    <w:rsid w:val="00054E18"/>
    <w:rsid w:val="000653D8"/>
    <w:rsid w:val="000672B8"/>
    <w:rsid w:val="00067993"/>
    <w:rsid w:val="00086921"/>
    <w:rsid w:val="0009396A"/>
    <w:rsid w:val="00097B32"/>
    <w:rsid w:val="000A3AB9"/>
    <w:rsid w:val="000C1DCB"/>
    <w:rsid w:val="000C2E77"/>
    <w:rsid w:val="000E1750"/>
    <w:rsid w:val="0010012C"/>
    <w:rsid w:val="00113744"/>
    <w:rsid w:val="00116326"/>
    <w:rsid w:val="00141418"/>
    <w:rsid w:val="00141D47"/>
    <w:rsid w:val="00164ED1"/>
    <w:rsid w:val="00167DA8"/>
    <w:rsid w:val="0017113B"/>
    <w:rsid w:val="00176C91"/>
    <w:rsid w:val="0018434C"/>
    <w:rsid w:val="00186A36"/>
    <w:rsid w:val="001A6F91"/>
    <w:rsid w:val="001D17F8"/>
    <w:rsid w:val="0020467F"/>
    <w:rsid w:val="00207FEC"/>
    <w:rsid w:val="002174DF"/>
    <w:rsid w:val="00221152"/>
    <w:rsid w:val="002425D5"/>
    <w:rsid w:val="002562CE"/>
    <w:rsid w:val="0025675E"/>
    <w:rsid w:val="00257BC4"/>
    <w:rsid w:val="0026256D"/>
    <w:rsid w:val="002833D9"/>
    <w:rsid w:val="002A1ED7"/>
    <w:rsid w:val="002C0C81"/>
    <w:rsid w:val="002C79BF"/>
    <w:rsid w:val="002D0827"/>
    <w:rsid w:val="002D5826"/>
    <w:rsid w:val="002E131E"/>
    <w:rsid w:val="002E2870"/>
    <w:rsid w:val="00316571"/>
    <w:rsid w:val="00353197"/>
    <w:rsid w:val="003873F5"/>
    <w:rsid w:val="00390A1B"/>
    <w:rsid w:val="00395F91"/>
    <w:rsid w:val="003A3B5D"/>
    <w:rsid w:val="003A794B"/>
    <w:rsid w:val="003B0DCF"/>
    <w:rsid w:val="003B2694"/>
    <w:rsid w:val="003C31F1"/>
    <w:rsid w:val="003D6BC0"/>
    <w:rsid w:val="003F2337"/>
    <w:rsid w:val="003F3D71"/>
    <w:rsid w:val="00437656"/>
    <w:rsid w:val="00450613"/>
    <w:rsid w:val="004A298C"/>
    <w:rsid w:val="004A79EA"/>
    <w:rsid w:val="004B0D65"/>
    <w:rsid w:val="004D0329"/>
    <w:rsid w:val="004E5EDE"/>
    <w:rsid w:val="004F6DDD"/>
    <w:rsid w:val="005350D0"/>
    <w:rsid w:val="00542DAC"/>
    <w:rsid w:val="00545DBF"/>
    <w:rsid w:val="00552EF4"/>
    <w:rsid w:val="00560E09"/>
    <w:rsid w:val="0056630D"/>
    <w:rsid w:val="005739BF"/>
    <w:rsid w:val="00583CAD"/>
    <w:rsid w:val="00585B23"/>
    <w:rsid w:val="00597680"/>
    <w:rsid w:val="005A3581"/>
    <w:rsid w:val="005B4D79"/>
    <w:rsid w:val="005B5107"/>
    <w:rsid w:val="005E355D"/>
    <w:rsid w:val="005F47AD"/>
    <w:rsid w:val="00607F99"/>
    <w:rsid w:val="00622375"/>
    <w:rsid w:val="0062691E"/>
    <w:rsid w:val="00632C7F"/>
    <w:rsid w:val="0063592C"/>
    <w:rsid w:val="00666D12"/>
    <w:rsid w:val="00697BB2"/>
    <w:rsid w:val="006A1DE3"/>
    <w:rsid w:val="006C58D1"/>
    <w:rsid w:val="006D1C4B"/>
    <w:rsid w:val="006D45C4"/>
    <w:rsid w:val="006D4AD1"/>
    <w:rsid w:val="00700E40"/>
    <w:rsid w:val="00702070"/>
    <w:rsid w:val="00707B95"/>
    <w:rsid w:val="00715BA1"/>
    <w:rsid w:val="00717313"/>
    <w:rsid w:val="00724186"/>
    <w:rsid w:val="007427BC"/>
    <w:rsid w:val="007711BF"/>
    <w:rsid w:val="007766CC"/>
    <w:rsid w:val="00782E24"/>
    <w:rsid w:val="00785E15"/>
    <w:rsid w:val="00791BF1"/>
    <w:rsid w:val="007978CE"/>
    <w:rsid w:val="007B1886"/>
    <w:rsid w:val="007C3B1D"/>
    <w:rsid w:val="007D0267"/>
    <w:rsid w:val="007E7F30"/>
    <w:rsid w:val="00841C59"/>
    <w:rsid w:val="00857F9C"/>
    <w:rsid w:val="00860BA5"/>
    <w:rsid w:val="008649BC"/>
    <w:rsid w:val="008671BC"/>
    <w:rsid w:val="0087145B"/>
    <w:rsid w:val="00880E4C"/>
    <w:rsid w:val="00880E9B"/>
    <w:rsid w:val="008962AC"/>
    <w:rsid w:val="00896372"/>
    <w:rsid w:val="008A0A56"/>
    <w:rsid w:val="008C0CB8"/>
    <w:rsid w:val="008C3A4C"/>
    <w:rsid w:val="008D042A"/>
    <w:rsid w:val="008D7624"/>
    <w:rsid w:val="008E6490"/>
    <w:rsid w:val="008F2CA5"/>
    <w:rsid w:val="008F54FD"/>
    <w:rsid w:val="008F7484"/>
    <w:rsid w:val="0090052D"/>
    <w:rsid w:val="00902C5B"/>
    <w:rsid w:val="0091778C"/>
    <w:rsid w:val="00923EC6"/>
    <w:rsid w:val="00952468"/>
    <w:rsid w:val="00980E48"/>
    <w:rsid w:val="00997220"/>
    <w:rsid w:val="009C2B16"/>
    <w:rsid w:val="009C68A7"/>
    <w:rsid w:val="009D191C"/>
    <w:rsid w:val="009E7529"/>
    <w:rsid w:val="00A015F5"/>
    <w:rsid w:val="00A02F80"/>
    <w:rsid w:val="00A17026"/>
    <w:rsid w:val="00A23732"/>
    <w:rsid w:val="00A46B22"/>
    <w:rsid w:val="00A74A93"/>
    <w:rsid w:val="00A75CE5"/>
    <w:rsid w:val="00A77270"/>
    <w:rsid w:val="00A854E0"/>
    <w:rsid w:val="00A863EE"/>
    <w:rsid w:val="00AD4908"/>
    <w:rsid w:val="00AE041B"/>
    <w:rsid w:val="00AE4B0A"/>
    <w:rsid w:val="00B242D4"/>
    <w:rsid w:val="00B50390"/>
    <w:rsid w:val="00B519E0"/>
    <w:rsid w:val="00B53FF3"/>
    <w:rsid w:val="00B61A6E"/>
    <w:rsid w:val="00B81EBD"/>
    <w:rsid w:val="00BB2A5D"/>
    <w:rsid w:val="00BB5170"/>
    <w:rsid w:val="00BB533A"/>
    <w:rsid w:val="00BC02C8"/>
    <w:rsid w:val="00BE4C8D"/>
    <w:rsid w:val="00BE6638"/>
    <w:rsid w:val="00C376A7"/>
    <w:rsid w:val="00C454C0"/>
    <w:rsid w:val="00C62E78"/>
    <w:rsid w:val="00C74EA7"/>
    <w:rsid w:val="00C94DF4"/>
    <w:rsid w:val="00C960C1"/>
    <w:rsid w:val="00CA0070"/>
    <w:rsid w:val="00CB05A5"/>
    <w:rsid w:val="00CB4AC8"/>
    <w:rsid w:val="00CD1365"/>
    <w:rsid w:val="00CF2819"/>
    <w:rsid w:val="00D00BD5"/>
    <w:rsid w:val="00D40B7F"/>
    <w:rsid w:val="00D470B3"/>
    <w:rsid w:val="00D50B61"/>
    <w:rsid w:val="00D53F8D"/>
    <w:rsid w:val="00D60F1D"/>
    <w:rsid w:val="00D654BE"/>
    <w:rsid w:val="00DC0CC0"/>
    <w:rsid w:val="00DC7036"/>
    <w:rsid w:val="00DD7B38"/>
    <w:rsid w:val="00DF1DA0"/>
    <w:rsid w:val="00E53076"/>
    <w:rsid w:val="00E62B98"/>
    <w:rsid w:val="00E668A1"/>
    <w:rsid w:val="00E80A8B"/>
    <w:rsid w:val="00E826A4"/>
    <w:rsid w:val="00E9017E"/>
    <w:rsid w:val="00E93919"/>
    <w:rsid w:val="00EB6296"/>
    <w:rsid w:val="00EC289D"/>
    <w:rsid w:val="00EC48F1"/>
    <w:rsid w:val="00EF74EA"/>
    <w:rsid w:val="00F10CDC"/>
    <w:rsid w:val="00F32D10"/>
    <w:rsid w:val="00F40763"/>
    <w:rsid w:val="00F45A94"/>
    <w:rsid w:val="00F5585A"/>
    <w:rsid w:val="00F56837"/>
    <w:rsid w:val="00F64BBF"/>
    <w:rsid w:val="00F91AED"/>
    <w:rsid w:val="00FA3F0D"/>
    <w:rsid w:val="00FA467E"/>
    <w:rsid w:val="00FA79A7"/>
    <w:rsid w:val="00FB22FF"/>
    <w:rsid w:val="00FC6FBB"/>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before="120" w:after="120" w:line="259" w:lineRule="auto"/>
        <w:ind w:left="1440" w:right="346"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ind w:left="720"/>
      <w:contextualSpacing/>
    </w:pPr>
    <w:rPr>
      <w:sz w:val="22"/>
      <w:szCs w:val="22"/>
    </w:rPr>
  </w:style>
  <w:style w:type="paragraph" w:styleId="a4">
    <w:name w:val="header"/>
    <w:basedOn w:val="a"/>
    <w:link w:val="Char"/>
    <w:unhideWhenUsed/>
    <w:rsid w:val="008C3A4C"/>
    <w:pPr>
      <w:tabs>
        <w:tab w:val="center" w:pos="4513"/>
        <w:tab w:val="right" w:pos="9026"/>
      </w:tabs>
    </w:pPr>
  </w:style>
  <w:style w:type="character" w:customStyle="1" w:styleId="Char">
    <w:name w:val="Κεφαλίδα Char"/>
    <w:basedOn w:val="a0"/>
    <w:link w:val="a4"/>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 w:type="paragraph" w:customStyle="1" w:styleId="p1">
    <w:name w:val="p1"/>
    <w:basedOn w:val="a"/>
    <w:rsid w:val="00560E09"/>
    <w:pPr>
      <w:spacing w:before="100" w:beforeAutospacing="1" w:after="100" w:afterAutospacing="1"/>
    </w:pPr>
    <w:rPr>
      <w:rFonts w:ascii="Times New Roman" w:eastAsia="Times New Roman" w:hAnsi="Times New Roman" w:cs="Times New Roman"/>
      <w:lang w:val="en-US"/>
    </w:rPr>
  </w:style>
  <w:style w:type="paragraph" w:customStyle="1" w:styleId="p2">
    <w:name w:val="p2"/>
    <w:basedOn w:val="a"/>
    <w:rsid w:val="00C960C1"/>
    <w:pPr>
      <w:spacing w:before="100" w:beforeAutospacing="1" w:after="100" w:afterAutospacing="1"/>
    </w:pPr>
    <w:rPr>
      <w:rFonts w:ascii="Times New Roman" w:eastAsia="Times New Roman" w:hAnsi="Times New Roman" w:cs="Times New Roman"/>
      <w:lang w:val="en-US"/>
    </w:rPr>
  </w:style>
  <w:style w:type="paragraph" w:customStyle="1" w:styleId="p3">
    <w:name w:val="p3"/>
    <w:basedOn w:val="a"/>
    <w:rsid w:val="00C960C1"/>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412</Words>
  <Characters>2355</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nikos niktaris</cp:lastModifiedBy>
  <cp:revision>179</cp:revision>
  <dcterms:created xsi:type="dcterms:W3CDTF">2022-02-09T08:13:00Z</dcterms:created>
  <dcterms:modified xsi:type="dcterms:W3CDTF">2025-06-05T04:29:00Z</dcterms:modified>
</cp:coreProperties>
</file>